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69" w:rsidRPr="004A6769" w:rsidRDefault="004A6769" w:rsidP="004A6769">
      <w:pPr>
        <w:spacing w:before="100" w:beforeAutospacing="1" w:after="100" w:afterAutospacing="1" w:line="240" w:lineRule="auto"/>
        <w:outlineLvl w:val="0"/>
        <w:rPr>
          <w:rFonts w:ascii="Times New Roman" w:eastAsia="Times New Roman" w:hAnsi="Times New Roman" w:cs="Times New Roman"/>
          <w:b/>
          <w:bCs/>
          <w:kern w:val="36"/>
          <w:sz w:val="32"/>
          <w:szCs w:val="32"/>
          <w:lang w:eastAsia="es-ES"/>
        </w:rPr>
      </w:pPr>
      <w:bookmarkStart w:id="0" w:name="_GoBack"/>
      <w:r w:rsidRPr="004A6769">
        <w:rPr>
          <w:rFonts w:ascii="Times New Roman" w:eastAsia="Times New Roman" w:hAnsi="Times New Roman" w:cs="Times New Roman"/>
          <w:b/>
          <w:bCs/>
          <w:kern w:val="36"/>
          <w:sz w:val="32"/>
          <w:szCs w:val="32"/>
          <w:lang w:eastAsia="es-ES"/>
        </w:rPr>
        <w:t xml:space="preserve">Guantes para las primeras sumas Comunicación I Congreso </w:t>
      </w:r>
      <w:bookmarkEnd w:id="0"/>
      <w:r w:rsidRPr="004A6769">
        <w:rPr>
          <w:rFonts w:ascii="Times New Roman" w:eastAsia="Times New Roman" w:hAnsi="Times New Roman" w:cs="Times New Roman"/>
          <w:b/>
          <w:bCs/>
          <w:kern w:val="36"/>
          <w:sz w:val="32"/>
          <w:szCs w:val="32"/>
          <w:lang w:eastAsia="es-ES"/>
        </w:rPr>
        <w:t>sobre Método ABN</w:t>
      </w:r>
    </w:p>
    <w:p w:rsidR="004A6769" w:rsidRPr="004A6769" w:rsidRDefault="004A6769" w:rsidP="004A6769">
      <w:pPr>
        <w:spacing w:after="0" w:line="240" w:lineRule="auto"/>
        <w:rPr>
          <w:rFonts w:ascii="Times New Roman" w:eastAsia="Times New Roman" w:hAnsi="Times New Roman" w:cs="Times New Roman"/>
          <w:sz w:val="32"/>
          <w:szCs w:val="32"/>
          <w:lang w:eastAsia="es-ES"/>
        </w:rPr>
      </w:pPr>
      <w:r w:rsidRPr="004A6769">
        <w:rPr>
          <w:rFonts w:ascii="Times New Roman" w:eastAsia="Times New Roman" w:hAnsi="Times New Roman" w:cs="Times New Roman"/>
          <w:sz w:val="32"/>
          <w:szCs w:val="32"/>
          <w:lang w:eastAsia="es-ES"/>
        </w:rPr>
        <w:t xml:space="preserve">10/07/2015 | Entradas archivadas: </w:t>
      </w:r>
      <w:hyperlink r:id="rId4" w:history="1">
        <w:proofErr w:type="spellStart"/>
        <w:r w:rsidRPr="004A6769">
          <w:rPr>
            <w:rFonts w:ascii="Times New Roman" w:eastAsia="Times New Roman" w:hAnsi="Times New Roman" w:cs="Times New Roman"/>
            <w:color w:val="0000FF"/>
            <w:sz w:val="32"/>
            <w:szCs w:val="32"/>
            <w:u w:val="single"/>
            <w:lang w:eastAsia="es-ES"/>
          </w:rPr>
          <w:t>Conoc</w:t>
        </w:r>
        <w:proofErr w:type="spellEnd"/>
        <w:r w:rsidRPr="004A6769">
          <w:rPr>
            <w:rFonts w:ascii="Times New Roman" w:eastAsia="Times New Roman" w:hAnsi="Times New Roman" w:cs="Times New Roman"/>
            <w:color w:val="0000FF"/>
            <w:sz w:val="32"/>
            <w:szCs w:val="32"/>
            <w:u w:val="single"/>
            <w:lang w:eastAsia="es-ES"/>
          </w:rPr>
          <w:t xml:space="preserve">. </w:t>
        </w:r>
        <w:proofErr w:type="gramStart"/>
        <w:r w:rsidRPr="004A6769">
          <w:rPr>
            <w:rFonts w:ascii="Times New Roman" w:eastAsia="Times New Roman" w:hAnsi="Times New Roman" w:cs="Times New Roman"/>
            <w:color w:val="0000FF"/>
            <w:sz w:val="32"/>
            <w:szCs w:val="32"/>
            <w:u w:val="single"/>
            <w:lang w:eastAsia="es-ES"/>
          </w:rPr>
          <w:t>del</w:t>
        </w:r>
        <w:proofErr w:type="gramEnd"/>
        <w:r w:rsidRPr="004A6769">
          <w:rPr>
            <w:rFonts w:ascii="Times New Roman" w:eastAsia="Times New Roman" w:hAnsi="Times New Roman" w:cs="Times New Roman"/>
            <w:color w:val="0000FF"/>
            <w:sz w:val="32"/>
            <w:szCs w:val="32"/>
            <w:u w:val="single"/>
            <w:lang w:eastAsia="es-ES"/>
          </w:rPr>
          <w:t xml:space="preserve"> entorno</w:t>
        </w:r>
      </w:hyperlink>
      <w:r w:rsidRPr="004A6769">
        <w:rPr>
          <w:rFonts w:ascii="Times New Roman" w:eastAsia="Times New Roman" w:hAnsi="Times New Roman" w:cs="Times New Roman"/>
          <w:sz w:val="32"/>
          <w:szCs w:val="32"/>
          <w:lang w:eastAsia="es-ES"/>
        </w:rPr>
        <w:t xml:space="preserve">, </w:t>
      </w:r>
      <w:hyperlink r:id="rId5" w:history="1">
        <w:r w:rsidRPr="004A6769">
          <w:rPr>
            <w:rFonts w:ascii="Times New Roman" w:eastAsia="Times New Roman" w:hAnsi="Times New Roman" w:cs="Times New Roman"/>
            <w:color w:val="0000FF"/>
            <w:sz w:val="32"/>
            <w:szCs w:val="32"/>
            <w:u w:val="single"/>
            <w:lang w:eastAsia="es-ES"/>
          </w:rPr>
          <w:t>I Congreso ABN</w:t>
        </w:r>
      </w:hyperlink>
      <w:r w:rsidRPr="004A6769">
        <w:rPr>
          <w:rFonts w:ascii="Times New Roman" w:eastAsia="Times New Roman" w:hAnsi="Times New Roman" w:cs="Times New Roman"/>
          <w:sz w:val="32"/>
          <w:szCs w:val="32"/>
          <w:lang w:eastAsia="es-ES"/>
        </w:rPr>
        <w:t xml:space="preserve">, </w:t>
      </w:r>
      <w:hyperlink r:id="rId6" w:history="1">
        <w:r w:rsidRPr="004A6769">
          <w:rPr>
            <w:rFonts w:ascii="Times New Roman" w:eastAsia="Times New Roman" w:hAnsi="Times New Roman" w:cs="Times New Roman"/>
            <w:color w:val="0000FF"/>
            <w:sz w:val="32"/>
            <w:szCs w:val="32"/>
            <w:u w:val="single"/>
            <w:lang w:eastAsia="es-ES"/>
          </w:rPr>
          <w:t>Matemáticas</w:t>
        </w:r>
      </w:hyperlink>
      <w:r w:rsidRPr="004A6769">
        <w:rPr>
          <w:rFonts w:ascii="Times New Roman" w:eastAsia="Times New Roman" w:hAnsi="Times New Roman" w:cs="Times New Roman"/>
          <w:sz w:val="32"/>
          <w:szCs w:val="32"/>
          <w:lang w:eastAsia="es-ES"/>
        </w:rPr>
        <w:t xml:space="preserve">, </w:t>
      </w:r>
      <w:hyperlink r:id="rId7" w:history="1">
        <w:r w:rsidRPr="004A6769">
          <w:rPr>
            <w:rFonts w:ascii="Times New Roman" w:eastAsia="Times New Roman" w:hAnsi="Times New Roman" w:cs="Times New Roman"/>
            <w:color w:val="0000FF"/>
            <w:sz w:val="32"/>
            <w:szCs w:val="32"/>
            <w:u w:val="single"/>
            <w:lang w:eastAsia="es-ES"/>
          </w:rPr>
          <w:t>Suma</w:t>
        </w:r>
      </w:hyperlink>
      <w:r w:rsidRPr="004A6769">
        <w:rPr>
          <w:rFonts w:ascii="Times New Roman" w:eastAsia="Times New Roman" w:hAnsi="Times New Roman" w:cs="Times New Roman"/>
          <w:sz w:val="32"/>
          <w:szCs w:val="32"/>
          <w:lang w:eastAsia="es-ES"/>
        </w:rPr>
        <w:t xml:space="preserve"> y etiquetado </w:t>
      </w:r>
      <w:proofErr w:type="spellStart"/>
      <w:r w:rsidRPr="004A6769">
        <w:rPr>
          <w:rFonts w:ascii="Times New Roman" w:eastAsia="Times New Roman" w:hAnsi="Times New Roman" w:cs="Times New Roman"/>
          <w:sz w:val="32"/>
          <w:szCs w:val="32"/>
          <w:lang w:eastAsia="es-ES"/>
        </w:rPr>
        <w:t>con</w:t>
      </w:r>
      <w:hyperlink r:id="rId8" w:history="1">
        <w:r w:rsidRPr="004A6769">
          <w:rPr>
            <w:rFonts w:ascii="Times New Roman" w:eastAsia="Times New Roman" w:hAnsi="Times New Roman" w:cs="Times New Roman"/>
            <w:color w:val="0000FF"/>
            <w:sz w:val="32"/>
            <w:szCs w:val="32"/>
            <w:u w:val="single"/>
            <w:lang w:eastAsia="es-ES"/>
          </w:rPr>
          <w:t>Conteo</w:t>
        </w:r>
        <w:proofErr w:type="spellEnd"/>
      </w:hyperlink>
      <w:r w:rsidRPr="004A6769">
        <w:rPr>
          <w:rFonts w:ascii="Times New Roman" w:eastAsia="Times New Roman" w:hAnsi="Times New Roman" w:cs="Times New Roman"/>
          <w:sz w:val="32"/>
          <w:szCs w:val="32"/>
          <w:lang w:eastAsia="es-ES"/>
        </w:rPr>
        <w:t xml:space="preserve">, </w:t>
      </w:r>
      <w:hyperlink r:id="rId9" w:history="1">
        <w:r w:rsidRPr="004A6769">
          <w:rPr>
            <w:rFonts w:ascii="Times New Roman" w:eastAsia="Times New Roman" w:hAnsi="Times New Roman" w:cs="Times New Roman"/>
            <w:color w:val="0000FF"/>
            <w:sz w:val="32"/>
            <w:szCs w:val="32"/>
            <w:u w:val="single"/>
            <w:lang w:eastAsia="es-ES"/>
          </w:rPr>
          <w:t>I Congreso ABN</w:t>
        </w:r>
      </w:hyperlink>
      <w:r w:rsidRPr="004A6769">
        <w:rPr>
          <w:rFonts w:ascii="Times New Roman" w:eastAsia="Times New Roman" w:hAnsi="Times New Roman" w:cs="Times New Roman"/>
          <w:sz w:val="32"/>
          <w:szCs w:val="32"/>
          <w:lang w:eastAsia="es-ES"/>
        </w:rPr>
        <w:t xml:space="preserve">, </w:t>
      </w:r>
      <w:hyperlink r:id="rId10" w:history="1">
        <w:r w:rsidRPr="004A6769">
          <w:rPr>
            <w:rFonts w:ascii="Times New Roman" w:eastAsia="Times New Roman" w:hAnsi="Times New Roman" w:cs="Times New Roman"/>
            <w:color w:val="0000FF"/>
            <w:sz w:val="32"/>
            <w:szCs w:val="32"/>
            <w:u w:val="single"/>
            <w:lang w:eastAsia="es-ES"/>
          </w:rPr>
          <w:t>Máquinas didácticas</w:t>
        </w:r>
      </w:hyperlink>
      <w:r w:rsidRPr="004A6769">
        <w:rPr>
          <w:rFonts w:ascii="Times New Roman" w:eastAsia="Times New Roman" w:hAnsi="Times New Roman" w:cs="Times New Roman"/>
          <w:sz w:val="32"/>
          <w:szCs w:val="32"/>
          <w:lang w:eastAsia="es-ES"/>
        </w:rPr>
        <w:t xml:space="preserve">, </w:t>
      </w:r>
      <w:hyperlink r:id="rId11" w:history="1">
        <w:r w:rsidRPr="004A6769">
          <w:rPr>
            <w:rFonts w:ascii="Times New Roman" w:eastAsia="Times New Roman" w:hAnsi="Times New Roman" w:cs="Times New Roman"/>
            <w:color w:val="0000FF"/>
            <w:sz w:val="32"/>
            <w:szCs w:val="32"/>
            <w:u w:val="single"/>
            <w:lang w:eastAsia="es-ES"/>
          </w:rPr>
          <w:t>Suma</w:t>
        </w:r>
      </w:hyperlink>
      <w:r w:rsidRPr="004A6769">
        <w:rPr>
          <w:rFonts w:ascii="Times New Roman" w:eastAsia="Times New Roman" w:hAnsi="Times New Roman" w:cs="Times New Roman"/>
          <w:sz w:val="32"/>
          <w:szCs w:val="32"/>
          <w:lang w:eastAsia="es-ES"/>
        </w:rPr>
        <w:t xml:space="preserve"> </w:t>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sz w:val="32"/>
          <w:szCs w:val="32"/>
          <w:lang w:eastAsia="es-ES"/>
        </w:rPr>
        <w:t>Este es otro de los materiales, idea de original de Teresa Ariza Marín del CEIP “Alonso de Aguilar” de Aguilar de la Frontera (Córdoba) y que presentó en una de sus comunicaciones en el I Congreso sobre el Método ABN.</w:t>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b/>
          <w:bCs/>
          <w:color w:val="0000FF"/>
          <w:sz w:val="32"/>
          <w:szCs w:val="32"/>
          <w:lang w:eastAsia="es-ES"/>
        </w:rPr>
        <w:t>OBJETIVO</w:t>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sz w:val="32"/>
          <w:szCs w:val="32"/>
          <w:lang w:eastAsia="es-ES"/>
        </w:rPr>
        <w:t>Se trata de un material para el uso por parte del profesorado de Infantil y/o Primer Ciclo de Primaria cuyo objetivo es facilitar el aprendizaje de la suma cuando los dos sumandos son mayores de cinco. Sumas del tipo 7 + 8 que normalmente el alumnado suele tomar el mayor en la memoria, representan el menor con los dedos de sus manos y empiezan a contar los dedos desde el número que tienen memorizado.</w:t>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sz w:val="32"/>
          <w:szCs w:val="32"/>
          <w:lang w:eastAsia="es-ES"/>
        </w:rPr>
        <w:t>Con este material se pretende que el alumno que trabaja la numeración ABN y que ya sabe descomponer cualquier número, vea cómo dentro de ese número que vamos a sumar se encuentra el cinco, el cual será el que irá a la memoria junto con el cinco de la descomposición del otro número que igualmente llevaremos a la memoria y formarán el 10 como complementarios o amigos del 10.</w:t>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b/>
          <w:bCs/>
          <w:color w:val="0000FF"/>
          <w:sz w:val="32"/>
          <w:szCs w:val="32"/>
          <w:lang w:eastAsia="es-ES"/>
        </w:rPr>
        <w:t>MATERIAL</w:t>
      </w:r>
    </w:p>
    <w:p w:rsidR="004A6769" w:rsidRPr="004A6769" w:rsidRDefault="00964700"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 Guante </w:t>
      </w:r>
      <w:r w:rsidR="004A6769" w:rsidRPr="004A6769">
        <w:rPr>
          <w:rFonts w:ascii="Times New Roman" w:eastAsia="Times New Roman" w:hAnsi="Times New Roman" w:cs="Times New Roman"/>
          <w:sz w:val="32"/>
          <w:szCs w:val="32"/>
          <w:lang w:eastAsia="es-ES"/>
        </w:rPr>
        <w:t xml:space="preserve">de </w:t>
      </w:r>
      <w:proofErr w:type="spellStart"/>
      <w:r w:rsidR="004A6769" w:rsidRPr="004A6769">
        <w:rPr>
          <w:rFonts w:ascii="Times New Roman" w:eastAsia="Times New Roman" w:hAnsi="Times New Roman" w:cs="Times New Roman"/>
          <w:sz w:val="32"/>
          <w:szCs w:val="32"/>
          <w:lang w:eastAsia="es-ES"/>
        </w:rPr>
        <w:t>latex</w:t>
      </w:r>
      <w:proofErr w:type="spellEnd"/>
      <w:r w:rsidR="004A6769" w:rsidRPr="004A6769">
        <w:rPr>
          <w:rFonts w:ascii="Times New Roman" w:eastAsia="Times New Roman" w:hAnsi="Times New Roman" w:cs="Times New Roman"/>
          <w:sz w:val="32"/>
          <w:szCs w:val="32"/>
          <w:lang w:eastAsia="es-ES"/>
        </w:rPr>
        <w:br/>
        <w:t>– Rotulador negro</w:t>
      </w:r>
      <w:r w:rsidR="004A6769" w:rsidRPr="004A6769">
        <w:rPr>
          <w:rFonts w:ascii="Times New Roman" w:eastAsia="Times New Roman" w:hAnsi="Times New Roman" w:cs="Times New Roman"/>
          <w:sz w:val="32"/>
          <w:szCs w:val="32"/>
          <w:lang w:eastAsia="es-ES"/>
        </w:rPr>
        <w:br/>
        <w:t>– Números del 1 al 10 de goma</w:t>
      </w:r>
      <w:r>
        <w:rPr>
          <w:rFonts w:ascii="Times New Roman" w:eastAsia="Times New Roman" w:hAnsi="Times New Roman" w:cs="Times New Roman"/>
          <w:sz w:val="32"/>
          <w:szCs w:val="32"/>
          <w:lang w:eastAsia="es-ES"/>
        </w:rPr>
        <w:t xml:space="preserve"> </w:t>
      </w:r>
      <w:proofErr w:type="spellStart"/>
      <w:r w:rsidR="004A6769" w:rsidRPr="004A6769">
        <w:rPr>
          <w:rFonts w:ascii="Times New Roman" w:eastAsia="Times New Roman" w:hAnsi="Times New Roman" w:cs="Times New Roman"/>
          <w:sz w:val="32"/>
          <w:szCs w:val="32"/>
          <w:lang w:eastAsia="es-ES"/>
        </w:rPr>
        <w:t>eva</w:t>
      </w:r>
      <w:proofErr w:type="spellEnd"/>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b/>
          <w:bCs/>
          <w:color w:val="0000FF"/>
          <w:sz w:val="32"/>
          <w:szCs w:val="32"/>
          <w:lang w:eastAsia="es-ES"/>
        </w:rPr>
        <w:t>PROCEDIMIENTO</w:t>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sz w:val="32"/>
          <w:szCs w:val="32"/>
          <w:lang w:eastAsia="es-ES"/>
        </w:rPr>
        <w:t xml:space="preserve">Preparamos los guantes bien pegando los números o escribiéndolos con rotulador negro. Sea de una forma u otra los </w:t>
      </w:r>
      <w:r w:rsidRPr="004A6769">
        <w:rPr>
          <w:rFonts w:ascii="Times New Roman" w:eastAsia="Times New Roman" w:hAnsi="Times New Roman" w:cs="Times New Roman"/>
          <w:sz w:val="32"/>
          <w:szCs w:val="32"/>
          <w:lang w:eastAsia="es-ES"/>
        </w:rPr>
        <w:lastRenderedPageBreak/>
        <w:t xml:space="preserve">números del 1 al 5 se escriben en el guante en la parte de la yema de los dedos y del 6 al 10 en la parte de las uñas. De esta forma tendremos </w:t>
      </w:r>
      <w:proofErr w:type="gramStart"/>
      <w:r w:rsidRPr="004A6769">
        <w:rPr>
          <w:rFonts w:ascii="Times New Roman" w:eastAsia="Times New Roman" w:hAnsi="Times New Roman" w:cs="Times New Roman"/>
          <w:sz w:val="32"/>
          <w:szCs w:val="32"/>
          <w:lang w:eastAsia="es-ES"/>
        </w:rPr>
        <w:t>los número</w:t>
      </w:r>
      <w:proofErr w:type="gramEnd"/>
      <w:r w:rsidRPr="004A6769">
        <w:rPr>
          <w:rFonts w:ascii="Times New Roman" w:eastAsia="Times New Roman" w:hAnsi="Times New Roman" w:cs="Times New Roman"/>
          <w:sz w:val="32"/>
          <w:szCs w:val="32"/>
          <w:lang w:eastAsia="es-ES"/>
        </w:rPr>
        <w:t xml:space="preserve"> del uno al cinco en una parte del guante y en la posterior del seis al diez.</w:t>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noProof/>
          <w:sz w:val="32"/>
          <w:szCs w:val="32"/>
          <w:lang w:eastAsia="es-ES"/>
        </w:rPr>
        <w:drawing>
          <wp:inline distT="0" distB="0" distL="0" distR="0">
            <wp:extent cx="5777230" cy="3823970"/>
            <wp:effectExtent l="0" t="0" r="0" b="5080"/>
            <wp:docPr id="1" name="Imagen 1" descr="Guantes 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antes ABN"/>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7230" cy="3823970"/>
                    </a:xfrm>
                    <a:prstGeom prst="rect">
                      <a:avLst/>
                    </a:prstGeom>
                    <a:noFill/>
                    <a:ln>
                      <a:noFill/>
                    </a:ln>
                  </pic:spPr>
                </pic:pic>
              </a:graphicData>
            </a:graphic>
          </wp:inline>
        </w:drawing>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sz w:val="32"/>
          <w:szCs w:val="32"/>
          <w:lang w:eastAsia="es-ES"/>
        </w:rPr>
        <w:t>Como hemos indicado anteriormente los guantes se los pone la/el maestra/o para mostrar al alumnado la forma de sumar operaciones de sumandos mayores al 5. Por ejemplo 8 + 7</w:t>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sz w:val="32"/>
          <w:szCs w:val="32"/>
          <w:lang w:eastAsia="es-ES"/>
        </w:rPr>
        <w:t>Para el 8 la/el maestra/o con los puños cerrados sin mostrar ningún número empieza a contar y a mostrar a la vez el dedo con el número que nombra. Cuando llega al cinco les dice al alumnado que ese número lo vamos a guardar en la cabeza y en ese momento cierra nuevamente la mano y la gira llevándose el puño en un gesto hacia la cabeza.</w:t>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sz w:val="32"/>
          <w:szCs w:val="32"/>
          <w:lang w:eastAsia="es-ES"/>
        </w:rPr>
        <w:t>Desde esa posición, con el puño en la frente, girado y cerrado, prosigue el conteo y va sacando los dedos con el seis, siete y ocho que al haber girado la mano ahora se muestran por la parte posterior del guante.</w:t>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sz w:val="32"/>
          <w:szCs w:val="32"/>
          <w:lang w:eastAsia="es-ES"/>
        </w:rPr>
        <w:lastRenderedPageBreak/>
        <w:t>De la misma manera procedemos con el  7 y al finalizar le preguntamos al alumnado qué números tenemos en la cabeza, a lo que nos responderán que el cinco y el cinco.</w:t>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sz w:val="32"/>
          <w:szCs w:val="32"/>
          <w:lang w:eastAsia="es-ES"/>
        </w:rPr>
        <w:t>Acto seguido le decimos que de quién son amigos el cinco y el cinco, a lo que nos responderán que son amigos del diez.</w:t>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sz w:val="32"/>
          <w:szCs w:val="32"/>
          <w:lang w:eastAsia="es-ES"/>
        </w:rPr>
        <w:t>Ya sólo queda mostrar y contar los dedos que tenemos abiertos en ambas manos, en una tendremos tres ya que del ocho hemos descompuesto y extraído el cinco y en la otra mano sólo tendremos dos dedos al descomponer el siete y extraer el cinco para llevárnoslo a la cabeza. Por tanto contamos o sumamos 3+2 =5 que unimos al diez para llegar a la suma final de 15.</w:t>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sz w:val="32"/>
          <w:szCs w:val="32"/>
          <w:lang w:eastAsia="es-ES"/>
        </w:rPr>
        <w:t>Resumiendo todo el proceso, al final con esta actividad lo que lograremos es que partiendo de las capacidades de descomposición que ya hemos trabajado con el alumnado, extraigan el cinco de ambos números para formar el diez y que en las manos y a su vista tenga los dedos que necesitan para completar junto al diez la suma total.</w:t>
      </w:r>
    </w:p>
    <w:p w:rsidR="004A6769" w:rsidRPr="004A6769" w:rsidRDefault="004A6769" w:rsidP="004A6769">
      <w:pPr>
        <w:spacing w:before="100" w:beforeAutospacing="1" w:after="100" w:afterAutospacing="1" w:line="240" w:lineRule="auto"/>
        <w:jc w:val="both"/>
        <w:rPr>
          <w:rFonts w:ascii="Times New Roman" w:eastAsia="Times New Roman" w:hAnsi="Times New Roman" w:cs="Times New Roman"/>
          <w:sz w:val="32"/>
          <w:szCs w:val="32"/>
          <w:lang w:eastAsia="es-ES"/>
        </w:rPr>
      </w:pPr>
      <w:r w:rsidRPr="004A6769">
        <w:rPr>
          <w:rFonts w:ascii="Times New Roman" w:eastAsia="Times New Roman" w:hAnsi="Times New Roman" w:cs="Times New Roman"/>
          <w:sz w:val="32"/>
          <w:szCs w:val="32"/>
          <w:lang w:eastAsia="es-ES"/>
        </w:rPr>
        <w:t>La repetición de este proceso les llevará de forma natural a ver en sus mentes los números descompuestos y tomar la parte que  forma decena y la que no forma decena para tras la descomposición formar el número que están sumando.</w:t>
      </w:r>
    </w:p>
    <w:p w:rsidR="005A5D7B" w:rsidRDefault="005A5D7B"/>
    <w:sectPr w:rsidR="005A5D7B" w:rsidSect="00DA07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6769"/>
    <w:rsid w:val="000B7795"/>
    <w:rsid w:val="004A6769"/>
    <w:rsid w:val="005A5D7B"/>
    <w:rsid w:val="00964700"/>
    <w:rsid w:val="00DA07D4"/>
    <w:rsid w:val="00F473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6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6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525675">
      <w:bodyDiv w:val="1"/>
      <w:marLeft w:val="0"/>
      <w:marRight w:val="0"/>
      <w:marTop w:val="0"/>
      <w:marBottom w:val="0"/>
      <w:divBdr>
        <w:top w:val="none" w:sz="0" w:space="0" w:color="auto"/>
        <w:left w:val="none" w:sz="0" w:space="0" w:color="auto"/>
        <w:bottom w:val="none" w:sz="0" w:space="0" w:color="auto"/>
        <w:right w:val="none" w:sz="0" w:space="0" w:color="auto"/>
      </w:divBdr>
      <w:divsChild>
        <w:div w:id="1769084821">
          <w:marLeft w:val="0"/>
          <w:marRight w:val="0"/>
          <w:marTop w:val="0"/>
          <w:marBottom w:val="0"/>
          <w:divBdr>
            <w:top w:val="none" w:sz="0" w:space="0" w:color="auto"/>
            <w:left w:val="none" w:sz="0" w:space="0" w:color="auto"/>
            <w:bottom w:val="none" w:sz="0" w:space="0" w:color="auto"/>
            <w:right w:val="none" w:sz="0" w:space="0" w:color="auto"/>
          </w:divBdr>
          <w:divsChild>
            <w:div w:id="6443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ludis.com/?tag=conte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tiludis.com/?cat=1108"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iludis.com/?cat=1352" TargetMode="External"/><Relationship Id="rId11" Type="http://schemas.openxmlformats.org/officeDocument/2006/relationships/hyperlink" Target="http://www.actiludis.com/?tag=suma" TargetMode="External"/><Relationship Id="rId5" Type="http://schemas.openxmlformats.org/officeDocument/2006/relationships/hyperlink" Target="http://www.actiludis.com/?cat=1670" TargetMode="External"/><Relationship Id="rId15" Type="http://schemas.microsoft.com/office/2007/relationships/stylesWithEffects" Target="stylesWithEffects.xml"/><Relationship Id="rId10" Type="http://schemas.openxmlformats.org/officeDocument/2006/relationships/hyperlink" Target="http://www.actiludis.com/?tag=maquinas-didacticas" TargetMode="External"/><Relationship Id="rId4" Type="http://schemas.openxmlformats.org/officeDocument/2006/relationships/hyperlink" Target="http://www.actiludis.com/?cat=1383" TargetMode="External"/><Relationship Id="rId9" Type="http://schemas.openxmlformats.org/officeDocument/2006/relationships/hyperlink" Target="http://www.actiludis.com/?tag=i-congreso-ab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Infantil1</cp:lastModifiedBy>
  <cp:revision>2</cp:revision>
  <dcterms:created xsi:type="dcterms:W3CDTF">2019-06-21T11:29:00Z</dcterms:created>
  <dcterms:modified xsi:type="dcterms:W3CDTF">2019-06-21T11:29:00Z</dcterms:modified>
</cp:coreProperties>
</file>